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FE6" w:rsidRDefault="000D0FE6" w:rsidP="00071702">
      <w:pPr>
        <w:spacing w:line="360" w:lineRule="auto"/>
        <w:rPr>
          <w:rFonts w:ascii="黑体" w:eastAsia="黑体" w:hAnsi="宋体" w:cs="黑体"/>
          <w:b/>
          <w:bCs/>
          <w:sz w:val="36"/>
          <w:szCs w:val="36"/>
        </w:rPr>
      </w:pPr>
      <w:bookmarkStart w:id="0" w:name="_GoBack"/>
      <w:bookmarkEnd w:id="0"/>
    </w:p>
    <w:p w:rsidR="0075765F" w:rsidRPr="00B43288" w:rsidRDefault="0075765F" w:rsidP="0001309E">
      <w:pPr>
        <w:spacing w:line="360" w:lineRule="auto"/>
        <w:jc w:val="center"/>
        <w:rPr>
          <w:rFonts w:ascii="黑体" w:eastAsia="黑体" w:hAnsi="宋体" w:cs="Times New Roman"/>
          <w:b/>
          <w:bCs/>
          <w:sz w:val="36"/>
          <w:szCs w:val="36"/>
        </w:rPr>
      </w:pPr>
      <w:r w:rsidRPr="00B43288">
        <w:rPr>
          <w:rFonts w:ascii="黑体" w:eastAsia="黑体" w:hAnsi="宋体" w:cs="黑体" w:hint="eastAsia"/>
          <w:b/>
          <w:bCs/>
          <w:sz w:val="36"/>
          <w:szCs w:val="36"/>
        </w:rPr>
        <w:t>中国科技通讯（</w:t>
      </w:r>
      <w:r w:rsidRPr="00B43288">
        <w:rPr>
          <w:rFonts w:ascii="黑体" w:eastAsia="黑体" w:hAnsi="宋体" w:cs="黑体"/>
          <w:b/>
          <w:bCs/>
          <w:sz w:val="36"/>
          <w:szCs w:val="36"/>
        </w:rPr>
        <w:t>NEWSLETTER</w:t>
      </w:r>
      <w:r w:rsidRPr="00B43288">
        <w:rPr>
          <w:rFonts w:ascii="黑体" w:eastAsia="黑体" w:hAnsi="宋体" w:cs="黑体" w:hint="eastAsia"/>
          <w:b/>
          <w:bCs/>
          <w:sz w:val="36"/>
          <w:szCs w:val="36"/>
        </w:rPr>
        <w:t>）</w:t>
      </w:r>
    </w:p>
    <w:p w:rsidR="0075765F" w:rsidRPr="00B43288" w:rsidRDefault="003C36D1" w:rsidP="0001309E">
      <w:pPr>
        <w:spacing w:line="360" w:lineRule="auto"/>
        <w:jc w:val="center"/>
        <w:rPr>
          <w:rFonts w:ascii="黑体" w:eastAsia="黑体" w:hAnsi="宋体" w:cs="Times New Roman"/>
          <w:b/>
          <w:bCs/>
          <w:sz w:val="36"/>
          <w:szCs w:val="36"/>
        </w:rPr>
      </w:pPr>
      <w:r>
        <w:rPr>
          <w:rFonts w:ascii="黑体" w:eastAsia="黑体" w:hAnsi="宋体" w:cs="黑体"/>
          <w:b/>
          <w:bCs/>
          <w:sz w:val="36"/>
          <w:szCs w:val="36"/>
        </w:rPr>
        <w:t>NO.0</w:t>
      </w:r>
      <w:r>
        <w:rPr>
          <w:rFonts w:ascii="黑体" w:eastAsia="黑体" w:hAnsi="宋体" w:cs="黑体" w:hint="eastAsia"/>
          <w:b/>
          <w:bCs/>
          <w:sz w:val="36"/>
          <w:szCs w:val="36"/>
        </w:rPr>
        <w:t>5</w:t>
      </w:r>
    </w:p>
    <w:p w:rsidR="003C36D1" w:rsidRPr="003C36D1" w:rsidRDefault="00627431" w:rsidP="003C36D1">
      <w:pPr>
        <w:pStyle w:val="TOCHeading"/>
        <w:spacing w:after="120"/>
        <w:jc w:val="center"/>
        <w:rPr>
          <w:rStyle w:val="Strong"/>
          <w:rFonts w:ascii="黑体" w:eastAsia="黑体" w:hAnsi="宋体" w:cs="Times New Roman"/>
          <w:b/>
          <w:noProof/>
          <w:sz w:val="32"/>
          <w:szCs w:val="32"/>
        </w:rPr>
      </w:pPr>
      <w:r>
        <w:rPr>
          <w:noProof/>
        </w:rPr>
        <mc:AlternateContent>
          <mc:Choice Requires="wps">
            <w:drawing>
              <wp:anchor distT="0" distB="0" distL="114300" distR="114300" simplePos="0" relativeHeight="251657216" behindDoc="0" locked="0" layoutInCell="1" allowOverlap="1">
                <wp:simplePos x="0" y="0"/>
                <wp:positionH relativeFrom="column">
                  <wp:posOffset>-38100</wp:posOffset>
                </wp:positionH>
                <wp:positionV relativeFrom="paragraph">
                  <wp:posOffset>64770</wp:posOffset>
                </wp:positionV>
                <wp:extent cx="5400675" cy="0"/>
                <wp:effectExtent l="19050" t="15240" r="19050" b="2286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EDAEC" id="_x0000_t32" coordsize="21600,21600" o:spt="32" o:oned="t" path="m,l21600,21600e" filled="f">
                <v:path arrowok="t" fillok="f" o:connecttype="none"/>
                <o:lock v:ext="edit" shapetype="t"/>
              </v:shapetype>
              <v:shape id="AutoShape 2" o:spid="_x0000_s1026" type="#_x0000_t32" style="position:absolute;left:0;text-align:left;margin-left:-3pt;margin-top:5.1pt;width:425.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" strokeweight="2.25pt">
                <v:stroke dashstyle="1 1" endcap="round"/>
              </v:shape>
            </w:pict>
          </mc:Fallback>
        </mc:AlternateContent>
      </w:r>
      <w:r w:rsidR="0075765F" w:rsidRPr="00B43288">
        <w:rPr>
          <w:rFonts w:ascii="黑体" w:eastAsia="黑体" w:hAnsi="宋体" w:cs="黑体" w:hint="eastAsia"/>
          <w:bCs w:val="0"/>
          <w:noProof/>
          <w:sz w:val="32"/>
          <w:szCs w:val="32"/>
        </w:rPr>
        <w:t>目</w:t>
      </w:r>
      <w:r w:rsidR="00B43288">
        <w:rPr>
          <w:rFonts w:ascii="黑体" w:eastAsia="黑体" w:hAnsi="宋体" w:cs="黑体" w:hint="eastAsia"/>
          <w:bCs w:val="0"/>
          <w:noProof/>
          <w:sz w:val="32"/>
          <w:szCs w:val="32"/>
        </w:rPr>
        <w:t xml:space="preserve"> </w:t>
      </w:r>
      <w:r w:rsidR="0075765F" w:rsidRPr="00B43288">
        <w:rPr>
          <w:rFonts w:ascii="黑体" w:eastAsia="黑体" w:hAnsi="宋体" w:cs="黑体" w:hint="eastAsia"/>
          <w:bCs w:val="0"/>
          <w:noProof/>
          <w:sz w:val="32"/>
          <w:szCs w:val="32"/>
        </w:rPr>
        <w:t>录</w:t>
      </w:r>
    </w:p>
    <w:p w:rsidR="0075765F" w:rsidRPr="00B43288" w:rsidRDefault="003C36D1" w:rsidP="003C36D1">
      <w:pPr>
        <w:pStyle w:val="ListParagraph"/>
        <w:numPr>
          <w:ilvl w:val="0"/>
          <w:numId w:val="1"/>
        </w:numPr>
        <w:spacing w:afterLines="50" w:after="156" w:line="520" w:lineRule="exact"/>
        <w:ind w:left="527" w:hangingChars="170" w:hanging="527"/>
        <w:rPr>
          <w:rStyle w:val="Strong"/>
          <w:rFonts w:ascii="仿宋_GB2312" w:eastAsia="仿宋_GB2312" w:hAnsi="宋体" w:cs="Times New Roman"/>
          <w:b w:val="0"/>
          <w:bCs w:val="0"/>
          <w:sz w:val="28"/>
          <w:szCs w:val="28"/>
        </w:rPr>
      </w:pPr>
      <w:r w:rsidRPr="003C36D1">
        <w:rPr>
          <w:rStyle w:val="Strong"/>
          <w:rFonts w:ascii="仿宋_GB2312" w:eastAsia="仿宋_GB2312" w:hAnsi="宋体" w:cs="宋体" w:hint="eastAsia"/>
          <w:b w:val="0"/>
          <w:spacing w:val="15"/>
          <w:sz w:val="28"/>
          <w:szCs w:val="28"/>
          <w:shd w:val="clear" w:color="auto" w:fill="FFFFFF"/>
        </w:rPr>
        <w:t>科技部发布</w:t>
      </w:r>
      <w:r w:rsidRPr="003C36D1">
        <w:rPr>
          <w:rStyle w:val="Strong"/>
          <w:rFonts w:ascii="仿宋_GB2312" w:eastAsia="仿宋_GB2312" w:hAnsi="宋体" w:cs="宋体"/>
          <w:b w:val="0"/>
          <w:spacing w:val="15"/>
          <w:sz w:val="28"/>
          <w:szCs w:val="28"/>
          <w:shd w:val="clear" w:color="auto" w:fill="FFFFFF"/>
        </w:rPr>
        <w:t>2016年度中国科学十大进展</w:t>
      </w:r>
    </w:p>
    <w:p w:rsidR="0075765F" w:rsidRDefault="00627431" w:rsidP="0001309E">
      <w:pPr>
        <w:spacing w:line="400" w:lineRule="exact"/>
        <w:rPr>
          <w:rFonts w:cs="Times New Roman"/>
          <w:kern w:val="0"/>
        </w:rPr>
      </w:pPr>
      <w:r>
        <w:rPr>
          <w:noProof/>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154305</wp:posOffset>
                </wp:positionV>
                <wp:extent cx="3019425" cy="0"/>
                <wp:effectExtent l="19050" t="17145" r="19050" b="2095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DF753" id="AutoShape 3" o:spid="_x0000_s1026" type="#_x0000_t32" style="position:absolute;left:0;text-align:left;margin-left:-3pt;margin-top:12.15pt;width:237.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" strokeweight="2.25pt">
                <v:stroke dashstyle="1 1" endcap="round"/>
              </v:shape>
            </w:pict>
          </mc:Fallback>
        </mc:AlternateContent>
      </w:r>
    </w:p>
    <w:p w:rsidR="0075765F" w:rsidRPr="00706C2F" w:rsidRDefault="0075765F">
      <w:pPr>
        <w:rPr>
          <w:rFonts w:ascii="宋体" w:eastAsia="宋体" w:hAnsi="宋体" w:cs="Times New Roman"/>
        </w:rPr>
      </w:pPr>
    </w:p>
    <w:p w:rsidR="003C36D1" w:rsidRPr="003C36D1" w:rsidRDefault="003C36D1" w:rsidP="003C36D1">
      <w:pPr>
        <w:pStyle w:val="Title"/>
        <w:rPr>
          <w:rFonts w:ascii="黑体"/>
        </w:rPr>
      </w:pPr>
      <w:r w:rsidRPr="003C36D1">
        <w:rPr>
          <w:rFonts w:ascii="黑体" w:hint="eastAsia"/>
        </w:rPr>
        <w:t>科技部发布</w:t>
      </w:r>
      <w:r w:rsidRPr="003C36D1">
        <w:rPr>
          <w:rFonts w:ascii="黑体"/>
        </w:rPr>
        <w:t>2016年度中国科学十大进展</w:t>
      </w:r>
    </w:p>
    <w:p w:rsidR="003C36D1" w:rsidRPr="000D1A4B" w:rsidRDefault="003C36D1" w:rsidP="003C36D1">
      <w:pPr>
        <w:jc w:val="center"/>
        <w:rPr>
          <w:rFonts w:ascii="黑体" w:eastAsia="黑体" w:hAnsi="黑体"/>
          <w:bCs/>
          <w:color w:val="000000"/>
          <w:sz w:val="24"/>
          <w:szCs w:val="24"/>
          <w:shd w:val="clear" w:color="auto" w:fill="FFFFFF"/>
        </w:rPr>
      </w:pPr>
    </w:p>
    <w:p w:rsidR="003C36D1" w:rsidRDefault="003C36D1" w:rsidP="003C36D1">
      <w:pPr>
        <w:pStyle w:val="NormalWeb"/>
        <w:shd w:val="clear" w:color="auto" w:fill="FFFFFF"/>
        <w:spacing w:before="0" w:beforeAutospacing="0" w:after="0" w:afterAutospacing="0" w:line="360" w:lineRule="auto"/>
        <w:ind w:firstLineChars="200" w:firstLine="420"/>
        <w:rPr>
          <w:kern w:val="2"/>
          <w:sz w:val="21"/>
          <w:szCs w:val="21"/>
        </w:rPr>
      </w:pPr>
      <w:r w:rsidRPr="009F1285">
        <w:rPr>
          <w:rFonts w:hint="eastAsia"/>
          <w:kern w:val="2"/>
          <w:sz w:val="21"/>
          <w:szCs w:val="21"/>
        </w:rPr>
        <w:t>2017年2月20日，科技部发布了</w:t>
      </w:r>
      <w:r w:rsidRPr="009F1285">
        <w:rPr>
          <w:kern w:val="2"/>
          <w:sz w:val="21"/>
          <w:szCs w:val="21"/>
        </w:rPr>
        <w:t>2016年度中国科学十大进展</w:t>
      </w:r>
      <w:r w:rsidRPr="009F1285">
        <w:rPr>
          <w:rFonts w:hint="eastAsia"/>
          <w:kern w:val="2"/>
          <w:sz w:val="21"/>
          <w:szCs w:val="21"/>
        </w:rPr>
        <w:t>。“中国科学十大进展”遴选活动由科技部高技术研究发展中心举办，至今已成功举办</w:t>
      </w:r>
      <w:r w:rsidRPr="009F1285">
        <w:rPr>
          <w:kern w:val="2"/>
          <w:sz w:val="21"/>
          <w:szCs w:val="21"/>
        </w:rPr>
        <w:t>12届，旨在宣传我国重大基础研究科学进展，激励广大科技工作者的科学热情和奉献精神，开展基础研究科普宣传，促进公众理解、关心和支持科学基础研究，在全社会营造良好的科学氛围。</w:t>
      </w:r>
      <w:r w:rsidRPr="009F1285">
        <w:rPr>
          <w:rFonts w:hint="eastAsia"/>
          <w:kern w:val="2"/>
          <w:sz w:val="21"/>
          <w:szCs w:val="21"/>
        </w:rPr>
        <w:t>2016年度的评选工作是根据</w:t>
      </w:r>
      <w:r w:rsidRPr="004F4103">
        <w:rPr>
          <w:rFonts w:hint="eastAsia"/>
          <w:kern w:val="2"/>
          <w:sz w:val="21"/>
          <w:szCs w:val="21"/>
        </w:rPr>
        <w:t>《中国基础科学》《科技导报》《中国科学院院刊》《中国科学基金》和《科学通报》5家编辑</w:t>
      </w:r>
      <w:r w:rsidRPr="009F1285">
        <w:rPr>
          <w:rFonts w:hint="eastAsia"/>
          <w:kern w:val="2"/>
          <w:sz w:val="21"/>
          <w:szCs w:val="21"/>
        </w:rPr>
        <w:t>部推荐的278项科学研究进展，经过推荐、初选和终选3个环节，最终遴选出十个项目作为2016年度中国科学十大进展向社会公布。现将这十大进展的情况解读如下。</w:t>
      </w:r>
    </w:p>
    <w:p w:rsidR="00B279AE" w:rsidRPr="009F1285" w:rsidRDefault="00627431" w:rsidP="003C36D1">
      <w:pPr>
        <w:pStyle w:val="NormalWeb"/>
        <w:shd w:val="clear" w:color="auto" w:fill="FFFFFF"/>
        <w:spacing w:before="0" w:beforeAutospacing="0" w:after="0" w:afterAutospacing="0" w:line="360" w:lineRule="auto"/>
        <w:ind w:firstLineChars="200" w:firstLine="420"/>
        <w:rPr>
          <w:kern w:val="2"/>
          <w:sz w:val="21"/>
          <w:szCs w:val="21"/>
        </w:rPr>
      </w:pPr>
      <w:r>
        <w:rPr>
          <w:noProof/>
          <w:kern w:val="2"/>
          <w:sz w:val="21"/>
          <w:szCs w:val="21"/>
        </w:rPr>
        <w:drawing>
          <wp:inline distT="0" distB="0" distL="0" distR="0">
            <wp:extent cx="4832350" cy="2876550"/>
            <wp:effectExtent l="0" t="0" r="6350" b="0"/>
            <wp:docPr id="1" name="Picture 1" descr="44b62387fb8444e28e99775c146d9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b62387fb8444e28e99775c146d94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2350" cy="2876550"/>
                    </a:xfrm>
                    <a:prstGeom prst="rect">
                      <a:avLst/>
                    </a:prstGeom>
                    <a:noFill/>
                    <a:ln>
                      <a:noFill/>
                    </a:ln>
                  </pic:spPr>
                </pic:pic>
              </a:graphicData>
            </a:graphic>
          </wp:inline>
        </w:drawing>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1.研制出将二氧化碳高效清洁转化为液体燃料的新型钴基电催化剂</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技术大学谢毅和孙永福研究组为了评估金属和金属氧化物两种不同催化位点的作用，制备了四原子厚的钴金属层和钴金属/氧化钴杂化层。他们发现在低过电位下，相对于块材表面的钴原子，原子级薄层表面的钴原子具有更高的生成甲酸盐的本征活性和选择性。而部分氧化的原子层进一步提高了它们的本征催化活性，在过电位仅为0.24伏下实现了10毫安每平方厘米的电流输出超过40小时，且其甲酸盐选择性接近90%，这超过此前报道的金属或金属氧化物电极在同等条件下得到的结果。该研究工作有助于让研究者重新思考如何获得高效和稳定的CO2电还原催化剂。相关研究论文发表在2016年1月7日《自然》（Nature[529(7584):68-71]）上。加州理工大学Karthish</w:t>
      </w:r>
      <w:r w:rsidR="00C74FCD">
        <w:rPr>
          <w:rFonts w:ascii="宋体" w:eastAsia="宋体" w:hAnsi="宋体" w:cs="宋体" w:hint="eastAsia"/>
        </w:rPr>
        <w:t xml:space="preserve"> </w:t>
      </w:r>
      <w:r w:rsidRPr="00CF4AE0">
        <w:rPr>
          <w:rFonts w:ascii="宋体" w:eastAsia="宋体" w:hAnsi="宋体" w:cs="宋体" w:hint="eastAsia"/>
        </w:rPr>
        <w:t>Manthiram教授评论认为：“这是一次重大的科学突破。虽然它在进入商业化使用之前还需要一段非常长的时间，但是目前这个阶段的发展不管从哪个角度看都是积极乐观的。”</w:t>
      </w:r>
    </w:p>
    <w:p w:rsidR="003C36D1" w:rsidRDefault="00627431"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drawing>
          <wp:inline distT="0" distB="0" distL="0" distR="0">
            <wp:extent cx="3162300" cy="23685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368550"/>
                    </a:xfrm>
                    <a:prstGeom prst="rect">
                      <a:avLst/>
                    </a:prstGeom>
                    <a:noFill/>
                    <a:ln>
                      <a:noFill/>
                    </a:ln>
                  </pic:spPr>
                </pic:pic>
              </a:graphicData>
            </a:graphic>
          </wp:inline>
        </w:drawing>
      </w:r>
    </w:p>
    <w:p w:rsidR="003C36D1" w:rsidRPr="00087D61" w:rsidRDefault="003C36D1" w:rsidP="003C36D1">
      <w:pPr>
        <w:spacing w:line="360" w:lineRule="auto"/>
        <w:ind w:firstLineChars="200" w:firstLine="420"/>
        <w:jc w:val="center"/>
        <w:rPr>
          <w:color w:val="404040"/>
          <w:shd w:val="clear" w:color="auto" w:fill="FFFFFF"/>
        </w:rPr>
      </w:pPr>
      <w:r>
        <w:rPr>
          <w:rFonts w:hint="eastAsia"/>
          <w:color w:val="404040"/>
          <w:shd w:val="clear" w:color="auto" w:fill="FFFFFF"/>
        </w:rPr>
        <w:t>钴/氧化钴杂化二维超薄结构电催化还原CO2为液体燃料01</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2.开创煤制烯烃新捷径</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大连化学物理研究所包信和及潘秀莲研究团队从纳米催化的基本原理入手，开发出了一种过渡金属氧化物和有序孔道分子筛复合催化剂，成功实现了煤基合成气一步法高效生产烯烃，C2到C4低碳烯烃单程选择性突破了费托过程的极限，一跃超过80%。同时，反应过程完全避免了水分子的参与。该成果在纳米尺度上实现了对分别控制反应活性和产物选择性的两类催化活性中心的有效分离，使在氧化物催化剂表面生成的碳氢中间体在分子筛的纳米孔道中发生受限偶联反应，成功实现了目标产物随分子筛结构的可控调变。相关研究论文发表在2016年3月4日《科学》（Science [351（6277）:1065-1068]）上。《科学》同期以“令人惊奇的选择性”为题刊发了专家评论和展望，称赞该研究在原理上的突破将带</w:t>
      </w:r>
      <w:r w:rsidRPr="00CF4AE0">
        <w:rPr>
          <w:rFonts w:ascii="宋体" w:eastAsia="宋体" w:hAnsi="宋体" w:cs="宋体" w:hint="eastAsia"/>
        </w:rPr>
        <w:lastRenderedPageBreak/>
        <w:t>来在工业上的巨大竞争力。</w:t>
      </w:r>
    </w:p>
    <w:p w:rsidR="003C36D1" w:rsidRDefault="00627431"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drawing>
          <wp:inline distT="0" distB="0" distL="0" distR="0">
            <wp:extent cx="3429000" cy="22542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254250"/>
                    </a:xfrm>
                    <a:prstGeom prst="rect">
                      <a:avLst/>
                    </a:prstGeom>
                    <a:noFill/>
                    <a:ln>
                      <a:noFill/>
                    </a:ln>
                  </pic:spPr>
                </pic:pic>
              </a:graphicData>
            </a:graphic>
          </wp:inline>
        </w:drawing>
      </w:r>
    </w:p>
    <w:p w:rsidR="003C36D1" w:rsidRPr="00F82D5E"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开创煤制烯烃新捷径</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3.揭示水稻产量性状杂种优势的分子遗传机制</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上海植物生理生态研究所韩斌和黄学辉研究组与中国水稻所杨仕华合作，对17套代表性杂交水稻品系的10074份F2代材料进行了基因型和表型性状分析。他们因此系统鉴定了与水稻产量杂种优势相关的遗传位点，并将现代杂交水稻品系鉴定为3个群系，代表了不同的杂交育种体系。他们发现，虽然在所有杂交稻中并没有完全相同的与杂种优势相关的遗传位点，但在同一群系内，都有少量来自母本的基因位点通过不完全显性的机制对大部分杂种的产量优势有重要贡献。这一发现将有利于进行高效的杂交优化配组，以快速获得具有高产、优质和抗逆的杂交品种。相关研究论文以长文形式发表在2016年9月29日《自然》（Nature[537（7622）:629-633]）上。</w:t>
      </w:r>
    </w:p>
    <w:p w:rsidR="003C36D1" w:rsidRDefault="00627431"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drawing>
          <wp:inline distT="0" distB="0" distL="0" distR="0">
            <wp:extent cx="3663950" cy="24638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3950" cy="2463800"/>
                    </a:xfrm>
                    <a:prstGeom prst="rect">
                      <a:avLst/>
                    </a:prstGeom>
                    <a:noFill/>
                    <a:ln>
                      <a:noFill/>
                    </a:ln>
                  </pic:spPr>
                </pic:pic>
              </a:graphicData>
            </a:graphic>
          </wp:inline>
        </w:drawing>
      </w:r>
    </w:p>
    <w:p w:rsidR="003C36D1" w:rsidRPr="00F82D5E"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杂交水稻</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4.提出基于胆固醇代谢调控的肿瘤免疫治疗新方法</w:t>
      </w:r>
    </w:p>
    <w:p w:rsidR="003C36D1" w:rsidRDefault="003C36D1" w:rsidP="003C36D1">
      <w:pPr>
        <w:spacing w:line="360" w:lineRule="auto"/>
        <w:ind w:firstLineChars="200" w:firstLine="420"/>
        <w:rPr>
          <w:rFonts w:ascii="宋体" w:eastAsia="宋体" w:hAnsi="宋体"/>
          <w:color w:val="000000"/>
          <w:shd w:val="clear" w:color="auto" w:fill="FFFFFF"/>
        </w:rPr>
      </w:pPr>
      <w:r w:rsidRPr="00CF4AE0">
        <w:rPr>
          <w:rFonts w:ascii="宋体" w:eastAsia="宋体" w:hAnsi="宋体" w:cs="宋体" w:hint="eastAsia"/>
        </w:rPr>
        <w:t>中国科学院上海生物化学与细胞生物学研究所许琛琦、李伯良与合作者从全新角度研究了T细胞的肿瘤免疫应答反应。他们认为通过调控T细胞的“代谢检查点”可改变其代谢状态，使其获得更强的抗肿瘤效应功能。他们鉴定出胆固醇酯化酶ACAT1是调控肿瘤免疫应答的代谢检查点，抑制其活性可以增强CD8+T细胞的肿瘤杀伤能力。他们的研究开辟了肿瘤免疫治疗的一个全新领域，证明了代谢调控的关键作用；同时发现ACAT1这一新的治疗靶点，拓展了ACAT1小分子抑制剂的应用前景，为肿瘤免疫治疗提供了新思路与新方法。相关研究论文发表在2016年3月31日《自然》Nature[531（7596）:651-655]上。《自然》发表的同行评论指出：“这项研究成果可能开发成抗肿瘤和抗病毒的新药物”。《细胞》发表的同行评论指出：“这项研究为对anti-PD-1没有治疗效应或产生抵抗的病人提供了新的希望”。</w:t>
      </w:r>
    </w:p>
    <w:p w:rsidR="003C36D1" w:rsidRDefault="00627431"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drawing>
          <wp:inline distT="0" distB="0" distL="0" distR="0">
            <wp:extent cx="3632200" cy="2413000"/>
            <wp:effectExtent l="0" t="0" r="635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2413000"/>
                    </a:xfrm>
                    <a:prstGeom prst="rect">
                      <a:avLst/>
                    </a:prstGeom>
                    <a:noFill/>
                    <a:ln>
                      <a:noFill/>
                    </a:ln>
                  </pic:spPr>
                </pic:pic>
              </a:graphicData>
            </a:graphic>
          </wp:inline>
        </w:drawing>
      </w:r>
    </w:p>
    <w:p w:rsidR="003C36D1" w:rsidRPr="0077728F"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基于胆固醇代谢调控的肿瘤免疫治疗</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5.揭示RNA剪接的关键分子机制</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清华大学生命科学学院施一公实验室利用酵母内源性蛋白提取获得了性质良好的样品，并利用单颗粒冷冻电子显微镜技术，相继解析了3个关键工作状态下剪接体的近原子分辨率结构以及一个剪接体组装过程中重要复合物的高分辨率结构。这4项进展均以长文的形式先后发表在2016年的《科学》周刊上（Science 351:466-475；353:895-904；353:904-911；aak9979）。这4个高分辨率结构所代表的剪接体状态，基本覆盖了RNA剪接的关键催化步骤，从分子层面解释了剪接体执行RNA剪接的机制，极大地推动了RNA剪接这一基础研究领域的发展。</w:t>
      </w:r>
    </w:p>
    <w:p w:rsidR="003C36D1" w:rsidRDefault="00627431"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lastRenderedPageBreak/>
        <w:drawing>
          <wp:inline distT="0" distB="0" distL="0" distR="0">
            <wp:extent cx="3638550" cy="234315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343150"/>
                    </a:xfrm>
                    <a:prstGeom prst="rect">
                      <a:avLst/>
                    </a:prstGeom>
                    <a:noFill/>
                    <a:ln>
                      <a:noFill/>
                    </a:ln>
                  </pic:spPr>
                </pic:pic>
              </a:graphicData>
            </a:graphic>
          </wp:inline>
        </w:drawing>
      </w:r>
    </w:p>
    <w:p w:rsidR="003C36D1" w:rsidRPr="00F82D5E"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施一公研究组已解析的剪接体结构</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6.发现精子RNA可作为记忆载体将获得性性状跨代遗传</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中国科学院动物研究所周琪、段恩奎研究组与中国科学院上海营养科学研究所翟琦巍研究员合作，基于高脂肪饮食小鼠模型，发现精子中一类来源于</w:t>
      </w:r>
      <w:r w:rsidRPr="00CF4AE0">
        <w:rPr>
          <w:rFonts w:ascii="宋体" w:eastAsia="宋体" w:hAnsi="宋体" w:cs="宋体"/>
        </w:rPr>
        <w:t>tRNA的5’</w:t>
      </w:r>
      <w:r w:rsidRPr="00CF4AE0">
        <w:rPr>
          <w:rFonts w:ascii="宋体" w:eastAsia="宋体" w:hAnsi="宋体" w:cs="宋体" w:hint="eastAsia"/>
        </w:rPr>
        <w:t>端序列的、大小富集在30—34nt的小RNA（tsRNAs）在高脂饮食下发生了表达谱和RNA修饰谱的显著改变。分离高脂小鼠精子中的tsRNAs片段并注射到正常受精卵内，可诱导F1子代产生代谢性疾病。高脂小鼠精子的tsRNAs进入受精卵后导致早期胚胎及后代小鼠胰岛中代谢通路基因发生显著改变。该研究第一次从精子RNA角度为研究获得性性状的跨代遗传现象开拓了全新的视角，提出精子tsRNAs是一类新的父本表观遗传因子，可介导获得性代谢疾病的跨代遗传。相关研究论文发表在2016年1月22日《科学》（Science [351（6271）:397-400]）上。文章发表以后被广泛引用和评价，引起国际各大媒体的关注。</w:t>
      </w:r>
    </w:p>
    <w:p w:rsidR="003C36D1" w:rsidRDefault="00627431"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drawing>
          <wp:inline distT="0" distB="0" distL="0" distR="0">
            <wp:extent cx="3854450" cy="2260600"/>
            <wp:effectExtent l="0" t="0" r="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4450" cy="2260600"/>
                    </a:xfrm>
                    <a:prstGeom prst="rect">
                      <a:avLst/>
                    </a:prstGeom>
                    <a:noFill/>
                    <a:ln>
                      <a:noFill/>
                    </a:ln>
                  </pic:spPr>
                </pic:pic>
              </a:graphicData>
            </a:graphic>
          </wp:inline>
        </w:drawing>
      </w:r>
    </w:p>
    <w:p w:rsidR="00071702" w:rsidRPr="00071702" w:rsidRDefault="003C36D1" w:rsidP="00071702">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获得性代谢疾病的代间传递</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7.研制出首个稳定可控的单分子电子开关器件</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北京大学北京分子科学国家实验室郭雪峰研究组原创性地发展了以石墨烯为电极、通过共价键连接的稳定单分子器件的关键制备方法，解决了单分子器件制备难、稳定性差的难题。在此基础上，他们与电子学系徐洪起研究组以及美国宾夕法尼亚大学Abraham</w:t>
      </w:r>
      <w:r w:rsidRPr="00CF4AE0">
        <w:rPr>
          <w:rFonts w:ascii="宋体" w:eastAsia="宋体" w:hAnsi="宋体" w:cs="宋体"/>
        </w:rPr>
        <w:t xml:space="preserve"> </w:t>
      </w:r>
      <w:r w:rsidRPr="00CF4AE0">
        <w:rPr>
          <w:rFonts w:ascii="宋体" w:eastAsia="宋体" w:hAnsi="宋体" w:cs="宋体" w:hint="eastAsia"/>
        </w:rPr>
        <w:t>Nitzan等合作，通过功能导向的分子工程学成功地克服了二芳烯分子与石墨烯电极间强耦合作用的核心挑战性问题，从而突破性地构建了一类全可逆的光诱导和电场诱导的双模式单分子光电子器件。这项研究工作使得在中国诞生了世界首例真实稳定可控的单分子电子开关器件。石墨烯电极和二芳烯分子稳定的碳骨架以及牢固的分子/电极间共价键链接方式使这些单分子开关器件具有空前的开关精度、稳定性和可重现性，在未来高度集成的信息处理器、分子计算机和精准分子诊断技术等方面具有巨大的应用前景。相关研究论文发表在201</w:t>
      </w:r>
      <w:r w:rsidRPr="00B279AE">
        <w:rPr>
          <w:rFonts w:ascii="宋体" w:eastAsia="宋体" w:hAnsi="宋体" w:cs="宋体" w:hint="eastAsia"/>
        </w:rPr>
        <w:t>6年6月17</w:t>
      </w:r>
      <w:r w:rsidR="00CF4AE0" w:rsidRPr="00B279AE">
        <w:rPr>
          <w:rFonts w:ascii="宋体" w:eastAsia="宋体" w:hAnsi="宋体" w:cs="宋体" w:hint="eastAsia"/>
        </w:rPr>
        <w:t>日《</w:t>
      </w:r>
      <w:r w:rsidRPr="00B279AE">
        <w:rPr>
          <w:rFonts w:ascii="宋体" w:eastAsia="宋体" w:hAnsi="宋体" w:cs="宋体" w:hint="eastAsia"/>
        </w:rPr>
        <w:t>科</w:t>
      </w:r>
      <w:r w:rsidRPr="00CF4AE0">
        <w:rPr>
          <w:rFonts w:ascii="宋体" w:eastAsia="宋体" w:hAnsi="宋体" w:cs="宋体" w:hint="eastAsia"/>
        </w:rPr>
        <w:t>学》（Science[352（6292）:1443-1445]）上。《科学》同期配发评述文章认为：“该研究展示了在纳米尺度上对物质的精致控制”。</w:t>
      </w:r>
    </w:p>
    <w:p w:rsidR="003C36D1" w:rsidRDefault="00627431"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drawing>
          <wp:inline distT="0" distB="0" distL="0" distR="0">
            <wp:extent cx="3956050" cy="2216150"/>
            <wp:effectExtent l="0" t="0" r="635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050" cy="2216150"/>
                    </a:xfrm>
                    <a:prstGeom prst="rect">
                      <a:avLst/>
                    </a:prstGeom>
                    <a:noFill/>
                    <a:ln>
                      <a:noFill/>
                    </a:ln>
                  </pic:spPr>
                </pic:pic>
              </a:graphicData>
            </a:graphic>
          </wp:inline>
        </w:drawing>
      </w:r>
    </w:p>
    <w:p w:rsidR="003C36D1" w:rsidRPr="00F82D5E" w:rsidRDefault="003C36D1" w:rsidP="003C36D1">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国际首例稳定可控的单分子电子开关器件</w:t>
      </w:r>
    </w:p>
    <w:p w:rsidR="003C36D1" w:rsidRPr="00F82D5E" w:rsidRDefault="003C36D1" w:rsidP="003C36D1">
      <w:pPr>
        <w:spacing w:line="360" w:lineRule="auto"/>
        <w:ind w:firstLineChars="200" w:firstLine="422"/>
        <w:rPr>
          <w:rFonts w:ascii="宋体" w:eastAsia="宋体" w:hAnsi="宋体"/>
          <w:color w:val="000000"/>
          <w:shd w:val="clear" w:color="auto" w:fill="FFFFFF"/>
        </w:rPr>
      </w:pPr>
      <w:r w:rsidRPr="00F82D5E">
        <w:rPr>
          <w:rFonts w:ascii="宋体" w:eastAsia="宋体" w:hAnsi="宋体" w:hint="eastAsia"/>
          <w:b/>
          <w:bCs/>
          <w:color w:val="000000"/>
          <w:shd w:val="clear" w:color="auto" w:fill="FFFFFF"/>
        </w:rPr>
        <w:t>8.构建出世界上首个非人灵长类自闭症模型</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上海神经科学研究所仇子龙研究组与非人灵长类平台孙强团队合作，通过构建携带人类自闭症基因MECP2的转基因猴模型并对转基因猴进行分子遗传学与行为学分析，发现MECP2转基因猴表现出类似于人类自闭症的刻板动作与社交障碍等行为。他们并首次在灵长类中成功通过精巢异体移植的方法加快猴类繁殖周期，历时三年半得到了携带人类MECP2基因的第二代转基因猴，且发现其在社交行为方面表现出了与亲代相同的自闭症样表型。这是世界上首个自闭症的非人灵长类模型，为深入研究自闭症的病理与探索可能的治疗干预方法做出了重要贡献。相关研究论文发表在2016年2月4日《自然》（Nature[530</w:t>
      </w:r>
      <w:r w:rsidRPr="00CF4AE0">
        <w:rPr>
          <w:rFonts w:ascii="宋体" w:eastAsia="宋体" w:hAnsi="宋体" w:cs="宋体" w:hint="eastAsia"/>
        </w:rPr>
        <w:lastRenderedPageBreak/>
        <w:t>（7588）:98-102]）上。</w:t>
      </w:r>
    </w:p>
    <w:p w:rsidR="003C36D1" w:rsidRDefault="00627431"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drawing>
          <wp:inline distT="0" distB="0" distL="0" distR="0">
            <wp:extent cx="3657600" cy="23876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87600"/>
                    </a:xfrm>
                    <a:prstGeom prst="rect">
                      <a:avLst/>
                    </a:prstGeom>
                    <a:noFill/>
                    <a:ln>
                      <a:noFill/>
                    </a:ln>
                  </pic:spPr>
                </pic:pic>
              </a:graphicData>
            </a:graphic>
          </wp:inline>
        </w:drawing>
      </w:r>
    </w:p>
    <w:p w:rsidR="003C36D1" w:rsidRPr="00F82D5E" w:rsidRDefault="003C36D1" w:rsidP="003C36D1">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世界上首个自闭症转基因猴模型</w:t>
      </w:r>
    </w:p>
    <w:p w:rsidR="003C36D1" w:rsidRPr="00F82D5E" w:rsidRDefault="003C36D1" w:rsidP="003C36D1">
      <w:pPr>
        <w:spacing w:line="360" w:lineRule="auto"/>
        <w:ind w:firstLineChars="200" w:firstLine="422"/>
        <w:rPr>
          <w:rFonts w:ascii="宋体" w:eastAsia="宋体" w:hAnsi="宋体"/>
          <w:color w:val="000000"/>
          <w:shd w:val="clear" w:color="auto" w:fill="FFFFFF"/>
        </w:rPr>
      </w:pPr>
      <w:r w:rsidRPr="00F82D5E">
        <w:rPr>
          <w:rFonts w:ascii="宋体" w:eastAsia="宋体" w:hAnsi="宋体" w:hint="eastAsia"/>
          <w:b/>
          <w:bCs/>
          <w:color w:val="000000"/>
          <w:shd w:val="clear" w:color="auto" w:fill="FFFFFF"/>
        </w:rPr>
        <w:t>9.揭示胚胎发育过程中关键信号通路的表观遗传调控机理</w:t>
      </w:r>
    </w:p>
    <w:p w:rsidR="003C36D1" w:rsidRDefault="003C36D1" w:rsidP="003C36D1">
      <w:pPr>
        <w:spacing w:line="360" w:lineRule="auto"/>
        <w:ind w:firstLineChars="200" w:firstLine="420"/>
        <w:rPr>
          <w:rFonts w:ascii="宋体" w:eastAsia="宋体" w:hAnsi="宋体"/>
          <w:color w:val="000000"/>
          <w:shd w:val="clear" w:color="auto" w:fill="FFFFFF"/>
        </w:rPr>
      </w:pPr>
      <w:r w:rsidRPr="00CF4AE0">
        <w:rPr>
          <w:rFonts w:ascii="宋体" w:eastAsia="宋体" w:hAnsi="宋体" w:cs="宋体" w:hint="eastAsia"/>
        </w:rPr>
        <w:t>中国科学院上海生物化学与细胞生物学研究所徐国良研究组与美国威斯康星大学孙欣、北京大学汤富酬等合作，利用生殖系特异性敲除小鼠得到Tet基因三敲除胚胎，通过一系列形态发育特征的检测，结合基因功能互补分析，解析了TET缺失造成胚胎死亡的机制，发现了TET三个成员之间功能上相互协作，介导的DNA去甲基化与DNMT介导的DNA甲基化相互拮抗，通过调控Lefty-Nodal信号通路控制胚胎原肠运动。该工作从长期困扰发育生物学领域的基本重大问题出发，着眼于人类新生儿出生缺陷的可能机理和防治，第一次系统地揭示了胚胎发育过程中关键信号通路的表观遗传调控机理，为发育生物学的基本原理提供了崭新的认识。相关研究论文发表在2016年10月27日《自然》（Nature[538:528-532]）上。</w:t>
      </w:r>
    </w:p>
    <w:p w:rsidR="003C36D1" w:rsidRDefault="00627431"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drawing>
          <wp:inline distT="0" distB="0" distL="0" distR="0">
            <wp:extent cx="3924300" cy="2032000"/>
            <wp:effectExtent l="0" t="0" r="0"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0" cy="2032000"/>
                    </a:xfrm>
                    <a:prstGeom prst="rect">
                      <a:avLst/>
                    </a:prstGeom>
                    <a:noFill/>
                    <a:ln>
                      <a:noFill/>
                    </a:ln>
                  </pic:spPr>
                </pic:pic>
              </a:graphicData>
            </a:graphic>
          </wp:inline>
        </w:drawing>
      </w:r>
    </w:p>
    <w:p w:rsidR="00071702" w:rsidRPr="00071702" w:rsidRDefault="003C36D1" w:rsidP="00071702">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TET和DNMT3调控Lefty-Nodal信号通路示意图</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10.揭示水的核量子效应</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北京大学物理学院王恩哥和江颖研究组与合作者，在相关实验技术和理论方法上分别取得突破：发展了一套“针尖增强的非弹性电子隧穿谱”技术，获得了单个水分子的高分辨振动谱，并由此测得了单个氢键的强度；开发了基于第一性原理的路径积分分子动力学方法，实现了对电子量子态和原子核量子态的精确描述。基于此，他们在国际上率先测定了氢键的量子成分，首次在原子尺度揭示了水的核量子效应。研究结果表明，氢键的量子成分可远大于室温的热能，氢核的“非简谐零点运动”会弱化弱氢键、强化强氢键，这个物理图像对于各种氢键体系具有相当的普适性。该工作是对“氢键的量子成分究竟有多大”这一物质科学基本问题的首次定量解答，澄清了学术界长期争论的氢键的量子本质，将有助于理解水和其他氢键体系的很多反常特性。相关研究论文发表在2016年4月15日《科学》（Science[352（6283）:321-325]）上。该研究被审稿人评价为“氢核量子效应研究的实验杰作”；核量子效应研究领域权威专家德国的Dominik</w:t>
      </w:r>
      <w:r w:rsidRPr="00CF4AE0">
        <w:rPr>
          <w:rFonts w:ascii="宋体" w:eastAsia="宋体" w:hAnsi="宋体" w:cs="宋体"/>
        </w:rPr>
        <w:t xml:space="preserve"> </w:t>
      </w:r>
      <w:r w:rsidRPr="00CF4AE0">
        <w:rPr>
          <w:rFonts w:ascii="宋体" w:eastAsia="宋体" w:hAnsi="宋体" w:cs="宋体" w:hint="eastAsia"/>
        </w:rPr>
        <w:t>Marx教授认为该工作“完成了难以置信的任务”。</w:t>
      </w:r>
    </w:p>
    <w:p w:rsidR="003C36D1" w:rsidRDefault="00627431" w:rsidP="003C36D1">
      <w:pPr>
        <w:spacing w:line="360" w:lineRule="auto"/>
        <w:ind w:firstLineChars="200" w:firstLine="420"/>
        <w:jc w:val="center"/>
        <w:rPr>
          <w:rFonts w:ascii="宋体" w:eastAsia="宋体" w:hAnsi="宋体"/>
          <w:shd w:val="clear" w:color="auto" w:fill="FFFFFF"/>
        </w:rPr>
      </w:pPr>
      <w:r>
        <w:rPr>
          <w:rFonts w:ascii="宋体" w:eastAsia="宋体" w:hAnsi="宋体"/>
          <w:noProof/>
          <w:color w:val="4F81BD"/>
        </w:rPr>
        <w:drawing>
          <wp:inline distT="0" distB="0" distL="0" distR="0">
            <wp:extent cx="3956050" cy="2209800"/>
            <wp:effectExtent l="0" t="0" r="635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6050" cy="2209800"/>
                    </a:xfrm>
                    <a:prstGeom prst="rect">
                      <a:avLst/>
                    </a:prstGeom>
                    <a:noFill/>
                    <a:ln>
                      <a:noFill/>
                    </a:ln>
                  </pic:spPr>
                </pic:pic>
              </a:graphicData>
            </a:graphic>
          </wp:inline>
        </w:drawing>
      </w:r>
    </w:p>
    <w:p w:rsidR="003C36D1" w:rsidRDefault="003C36D1" w:rsidP="003C36D1">
      <w:pPr>
        <w:spacing w:line="360" w:lineRule="auto"/>
        <w:ind w:firstLineChars="200" w:firstLine="420"/>
        <w:jc w:val="center"/>
        <w:rPr>
          <w:rFonts w:ascii="宋体" w:eastAsia="宋体" w:hAnsi="宋体"/>
          <w:shd w:val="clear" w:color="auto" w:fill="FFFFFF"/>
        </w:rPr>
      </w:pPr>
      <w:r>
        <w:rPr>
          <w:rFonts w:hint="eastAsia"/>
          <w:color w:val="404040"/>
          <w:shd w:val="clear" w:color="auto" w:fill="FFFFFF"/>
        </w:rPr>
        <w:t>探测到水的核量子效应</w:t>
      </w:r>
    </w:p>
    <w:p w:rsidR="003C36D1" w:rsidRDefault="003C36D1" w:rsidP="003C36D1">
      <w:pPr>
        <w:spacing w:line="360" w:lineRule="auto"/>
        <w:ind w:firstLineChars="200" w:firstLine="420"/>
        <w:jc w:val="right"/>
        <w:rPr>
          <w:rFonts w:ascii="宋体" w:eastAsia="宋体" w:hAnsi="宋体"/>
          <w:shd w:val="clear" w:color="auto" w:fill="FFFFFF"/>
        </w:rPr>
      </w:pPr>
    </w:p>
    <w:p w:rsidR="003C36D1" w:rsidRPr="00CF4AE0" w:rsidRDefault="003C36D1" w:rsidP="003C36D1">
      <w:pPr>
        <w:spacing w:line="360" w:lineRule="auto"/>
        <w:ind w:firstLineChars="200" w:firstLine="420"/>
        <w:jc w:val="right"/>
        <w:rPr>
          <w:rFonts w:ascii="宋体" w:eastAsia="宋体" w:hAnsi="宋体" w:cs="宋体"/>
        </w:rPr>
      </w:pPr>
      <w:r w:rsidRPr="00CF4AE0">
        <w:rPr>
          <w:rFonts w:ascii="宋体" w:eastAsia="宋体" w:hAnsi="宋体" w:cs="宋体" w:hint="eastAsia"/>
        </w:rPr>
        <w:t>（来源：科技日报，2017年2月21日）</w:t>
      </w:r>
    </w:p>
    <w:p w:rsidR="003C36D1" w:rsidRPr="00CF4AE0" w:rsidRDefault="003C36D1" w:rsidP="003C36D1">
      <w:pPr>
        <w:spacing w:line="360" w:lineRule="auto"/>
        <w:ind w:firstLineChars="200" w:firstLine="420"/>
        <w:rPr>
          <w:rFonts w:ascii="宋体" w:eastAsia="宋体" w:hAnsi="宋体" w:cs="宋体"/>
        </w:rPr>
      </w:pPr>
    </w:p>
    <w:p w:rsidR="003C36D1" w:rsidRPr="00322F91" w:rsidRDefault="003C36D1" w:rsidP="00B279AE">
      <w:pPr>
        <w:pStyle w:val="Title"/>
        <w:jc w:val="both"/>
        <w:rPr>
          <w:rFonts w:ascii="黑体"/>
        </w:rPr>
      </w:pPr>
    </w:p>
    <w:p w:rsidR="00B43288" w:rsidRPr="00B43288" w:rsidRDefault="00475F6C" w:rsidP="00B43288">
      <w:pPr>
        <w:pBdr>
          <w:top w:val="single" w:sz="6" w:space="6" w:color="4472C4"/>
          <w:bottom w:val="single" w:sz="6" w:space="6" w:color="4472C4"/>
        </w:pBdr>
        <w:jc w:val="left"/>
        <w:rPr>
          <w:rFonts w:ascii="仿宋_GB2312" w:eastAsia="仿宋_GB2312" w:hAnsi="等线 Light" w:cs="Times New Roman"/>
          <w:caps/>
          <w:color w:val="000000"/>
        </w:rPr>
      </w:pPr>
      <w:r>
        <w:rPr>
          <w:rFonts w:ascii="仿宋_GB2312" w:eastAsia="仿宋_GB2312" w:hAnsi="等线 Light" w:cs="等线 Light" w:hint="eastAsia"/>
          <w:caps/>
          <w:color w:val="000000"/>
        </w:rPr>
        <w:t>主办</w:t>
      </w:r>
      <w:r w:rsidR="00B43288" w:rsidRPr="00B43288">
        <w:rPr>
          <w:rFonts w:ascii="仿宋_GB2312" w:eastAsia="仿宋_GB2312" w:hAnsi="等线 Light" w:cs="等线 Light" w:hint="eastAsia"/>
          <w:caps/>
          <w:color w:val="000000"/>
        </w:rPr>
        <w:t>：中华人民共和国科学技术部国际合作司</w:t>
      </w:r>
    </w:p>
    <w:p w:rsidR="00B43288" w:rsidRPr="00B43288" w:rsidRDefault="00475F6C" w:rsidP="00B43288">
      <w:pPr>
        <w:pBdr>
          <w:top w:val="single" w:sz="6" w:space="6" w:color="4472C4"/>
          <w:bottom w:val="single" w:sz="6" w:space="6" w:color="4472C4"/>
        </w:pBdr>
        <w:jc w:val="left"/>
        <w:rPr>
          <w:rFonts w:ascii="仿宋_GB2312" w:eastAsia="仿宋_GB2312" w:hAnsi="等线 Light" w:cs="Times New Roman"/>
          <w:caps/>
          <w:color w:val="000000"/>
        </w:rPr>
      </w:pPr>
      <w:r>
        <w:rPr>
          <w:rFonts w:ascii="仿宋_GB2312" w:eastAsia="仿宋_GB2312" w:hAnsi="等线 Light" w:cs="等线 Light" w:hint="eastAsia"/>
          <w:caps/>
          <w:color w:val="000000"/>
        </w:rPr>
        <w:t>承办</w:t>
      </w:r>
      <w:r w:rsidR="00B43288" w:rsidRPr="00B43288">
        <w:rPr>
          <w:rFonts w:ascii="仿宋_GB2312" w:eastAsia="仿宋_GB2312" w:hAnsi="等线 Light" w:cs="等线 Light" w:hint="eastAsia"/>
          <w:caps/>
          <w:color w:val="000000"/>
        </w:rPr>
        <w:t>：中国国际科学技术合作协会</w:t>
      </w:r>
    </w:p>
    <w:p w:rsidR="00B43288" w:rsidRPr="00B43288" w:rsidRDefault="00B43288" w:rsidP="00B43288">
      <w:pPr>
        <w:pBdr>
          <w:top w:val="single" w:sz="6" w:space="6" w:color="4472C4"/>
          <w:bottom w:val="single" w:sz="6" w:space="6" w:color="4472C4"/>
        </w:pBdr>
        <w:jc w:val="left"/>
        <w:rPr>
          <w:rFonts w:ascii="仿宋_GB2312" w:eastAsia="仿宋_GB2312" w:hAnsi="等线 Light" w:cs="等线 Light"/>
          <w:caps/>
          <w:color w:val="000000"/>
        </w:rPr>
      </w:pPr>
      <w:r w:rsidRPr="00B43288">
        <w:rPr>
          <w:rFonts w:ascii="仿宋_GB2312" w:eastAsia="仿宋_GB2312" w:hAnsi="等线 Light" w:cs="等线 Light" w:hint="eastAsia"/>
          <w:caps/>
          <w:color w:val="000000"/>
        </w:rPr>
        <w:t>编辑部地址：中国北京市海淀区复兴路乙11号写字楼1059室   邮编100038</w:t>
      </w:r>
    </w:p>
    <w:sectPr w:rsidR="00B43288" w:rsidRPr="00B43288" w:rsidSect="00ED2C05">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717" w:rsidRDefault="00395717" w:rsidP="00B43288">
      <w:r>
        <w:separator/>
      </w:r>
    </w:p>
  </w:endnote>
  <w:endnote w:type="continuationSeparator" w:id="0">
    <w:p w:rsidR="00395717" w:rsidRDefault="00395717" w:rsidP="00B4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8CA" w:rsidRDefault="007318CA">
    <w:pPr>
      <w:pStyle w:val="Footer"/>
      <w:jc w:val="right"/>
    </w:pPr>
    <w:r>
      <w:fldChar w:fldCharType="begin"/>
    </w:r>
    <w:r>
      <w:instrText>PAGE   \* MERGEFORMAT</w:instrText>
    </w:r>
    <w:r>
      <w:fldChar w:fldCharType="separate"/>
    </w:r>
    <w:r w:rsidR="00627431" w:rsidRPr="00627431">
      <w:rPr>
        <w:noProof/>
        <w:lang w:val="zh-CN"/>
      </w:rPr>
      <w:t>1</w:t>
    </w:r>
    <w:r>
      <w:fldChar w:fldCharType="end"/>
    </w:r>
  </w:p>
  <w:p w:rsidR="007318CA" w:rsidRDefault="00731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717" w:rsidRDefault="00395717" w:rsidP="00B43288">
      <w:r>
        <w:separator/>
      </w:r>
    </w:p>
  </w:footnote>
  <w:footnote w:type="continuationSeparator" w:id="0">
    <w:p w:rsidR="00395717" w:rsidRDefault="00395717" w:rsidP="00B432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89627B"/>
    <w:multiLevelType w:val="hybridMultilevel"/>
    <w:tmpl w:val="A0FA20EA"/>
    <w:lvl w:ilvl="0" w:tplc="2E40CA0A">
      <w:numFmt w:val="bullet"/>
      <w:lvlText w:val=""/>
      <w:lvlJc w:val="left"/>
      <w:pPr>
        <w:ind w:left="360" w:hanging="360"/>
      </w:pPr>
      <w:rPr>
        <w:rFonts w:ascii="Wingdings" w:eastAsia="黑体" w:hAnsi="Wingdings" w:hint="default"/>
        <w:b/>
        <w:bCs/>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287"/>
    <w:rsid w:val="00011276"/>
    <w:rsid w:val="0001309E"/>
    <w:rsid w:val="00071702"/>
    <w:rsid w:val="000D0FE6"/>
    <w:rsid w:val="000D3F0D"/>
    <w:rsid w:val="001A6585"/>
    <w:rsid w:val="001B6C06"/>
    <w:rsid w:val="001F642A"/>
    <w:rsid w:val="002156C5"/>
    <w:rsid w:val="002240C5"/>
    <w:rsid w:val="002816C2"/>
    <w:rsid w:val="002C6570"/>
    <w:rsid w:val="002F0570"/>
    <w:rsid w:val="002F7C58"/>
    <w:rsid w:val="00322F91"/>
    <w:rsid w:val="00362513"/>
    <w:rsid w:val="00382B1C"/>
    <w:rsid w:val="00395287"/>
    <w:rsid w:val="00395717"/>
    <w:rsid w:val="003C36D1"/>
    <w:rsid w:val="003E2CE6"/>
    <w:rsid w:val="00416C24"/>
    <w:rsid w:val="004324A9"/>
    <w:rsid w:val="004467C7"/>
    <w:rsid w:val="00447F0B"/>
    <w:rsid w:val="00452834"/>
    <w:rsid w:val="00473EC1"/>
    <w:rsid w:val="00475F6C"/>
    <w:rsid w:val="004A5BD2"/>
    <w:rsid w:val="004A60D2"/>
    <w:rsid w:val="004C7560"/>
    <w:rsid w:val="004F4103"/>
    <w:rsid w:val="00506750"/>
    <w:rsid w:val="00517645"/>
    <w:rsid w:val="005217C4"/>
    <w:rsid w:val="005233CC"/>
    <w:rsid w:val="00543EA1"/>
    <w:rsid w:val="00567922"/>
    <w:rsid w:val="005749DC"/>
    <w:rsid w:val="00610458"/>
    <w:rsid w:val="00627431"/>
    <w:rsid w:val="00665D46"/>
    <w:rsid w:val="00693A1B"/>
    <w:rsid w:val="006B03A1"/>
    <w:rsid w:val="006F51A6"/>
    <w:rsid w:val="00706C2F"/>
    <w:rsid w:val="00723AB5"/>
    <w:rsid w:val="007318CA"/>
    <w:rsid w:val="007444ED"/>
    <w:rsid w:val="0075765F"/>
    <w:rsid w:val="007C3030"/>
    <w:rsid w:val="008B0CB0"/>
    <w:rsid w:val="008B4874"/>
    <w:rsid w:val="008B63F1"/>
    <w:rsid w:val="008F1C04"/>
    <w:rsid w:val="008F25D1"/>
    <w:rsid w:val="009B1032"/>
    <w:rsid w:val="009D0A9F"/>
    <w:rsid w:val="009F1285"/>
    <w:rsid w:val="00A204BA"/>
    <w:rsid w:val="00A81ECA"/>
    <w:rsid w:val="00A92A2E"/>
    <w:rsid w:val="00AA5421"/>
    <w:rsid w:val="00AD7DF2"/>
    <w:rsid w:val="00AE3BE3"/>
    <w:rsid w:val="00B279AE"/>
    <w:rsid w:val="00B43288"/>
    <w:rsid w:val="00B56C9A"/>
    <w:rsid w:val="00BA5759"/>
    <w:rsid w:val="00BB2C9D"/>
    <w:rsid w:val="00BE60B6"/>
    <w:rsid w:val="00BE666B"/>
    <w:rsid w:val="00C16274"/>
    <w:rsid w:val="00C40931"/>
    <w:rsid w:val="00C74FCD"/>
    <w:rsid w:val="00C94811"/>
    <w:rsid w:val="00CA7524"/>
    <w:rsid w:val="00CD48A8"/>
    <w:rsid w:val="00CF4AE0"/>
    <w:rsid w:val="00D220AD"/>
    <w:rsid w:val="00D53F8F"/>
    <w:rsid w:val="00D64352"/>
    <w:rsid w:val="00DA428E"/>
    <w:rsid w:val="00E8231A"/>
    <w:rsid w:val="00ED2C05"/>
    <w:rsid w:val="00EE6AA9"/>
    <w:rsid w:val="00EF2A52"/>
    <w:rsid w:val="00F169D5"/>
    <w:rsid w:val="00F4051C"/>
    <w:rsid w:val="00F457A1"/>
    <w:rsid w:val="00F72427"/>
    <w:rsid w:val="00F73888"/>
    <w:rsid w:val="00FA03C0"/>
    <w:rsid w:val="00FA2DD1"/>
    <w:rsid w:val="00FE06BA"/>
    <w:rsid w:val="00FE24C0"/>
    <w:rsid w:val="00FE4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B5080D3-8A56-4FD2-979F-AAE6330E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287"/>
    <w:pPr>
      <w:widowControl w:val="0"/>
      <w:jc w:val="both"/>
    </w:pPr>
    <w:rPr>
      <w:rFonts w:cs="等线"/>
      <w:kern w:val="2"/>
      <w:sz w:val="21"/>
      <w:szCs w:val="21"/>
    </w:rPr>
  </w:style>
  <w:style w:type="paragraph" w:styleId="Heading1">
    <w:name w:val="heading 1"/>
    <w:basedOn w:val="Normal"/>
    <w:next w:val="Normal"/>
    <w:link w:val="Heading1Char"/>
    <w:uiPriority w:val="99"/>
    <w:qFormat/>
    <w:locked/>
    <w:rsid w:val="0001309E"/>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A5759"/>
    <w:rPr>
      <w:b/>
      <w:bCs/>
      <w:kern w:val="44"/>
      <w:sz w:val="44"/>
      <w:szCs w:val="44"/>
    </w:rPr>
  </w:style>
  <w:style w:type="character" w:customStyle="1" w:styleId="apple-converted-space">
    <w:name w:val="apple-converted-space"/>
    <w:basedOn w:val="DefaultParagraphFont"/>
    <w:uiPriority w:val="99"/>
    <w:rsid w:val="00395287"/>
  </w:style>
  <w:style w:type="character" w:styleId="Strong">
    <w:name w:val="Strong"/>
    <w:uiPriority w:val="99"/>
    <w:qFormat/>
    <w:rsid w:val="00395287"/>
    <w:rPr>
      <w:b/>
      <w:bCs/>
    </w:rPr>
  </w:style>
  <w:style w:type="paragraph" w:styleId="NormalWeb">
    <w:name w:val="Normal (Web)"/>
    <w:basedOn w:val="Normal"/>
    <w:uiPriority w:val="99"/>
    <w:rsid w:val="00395287"/>
    <w:pPr>
      <w:widowControl/>
      <w:spacing w:before="100" w:beforeAutospacing="1" w:after="100" w:afterAutospacing="1"/>
      <w:jc w:val="left"/>
    </w:pPr>
    <w:rPr>
      <w:rFonts w:ascii="宋体" w:eastAsia="宋体" w:hAnsi="宋体" w:cs="宋体"/>
      <w:kern w:val="0"/>
      <w:sz w:val="24"/>
      <w:szCs w:val="24"/>
    </w:rPr>
  </w:style>
  <w:style w:type="paragraph" w:styleId="ListParagraph">
    <w:name w:val="List Paragraph"/>
    <w:basedOn w:val="Normal"/>
    <w:uiPriority w:val="99"/>
    <w:qFormat/>
    <w:rsid w:val="00F73888"/>
    <w:pPr>
      <w:ind w:firstLineChars="200" w:firstLine="420"/>
    </w:pPr>
  </w:style>
  <w:style w:type="paragraph" w:styleId="TOCHeading">
    <w:name w:val="TOC Heading"/>
    <w:basedOn w:val="Heading1"/>
    <w:next w:val="Normal"/>
    <w:uiPriority w:val="99"/>
    <w:qFormat/>
    <w:rsid w:val="0001309E"/>
    <w:pPr>
      <w:outlineLvl w:val="9"/>
    </w:pPr>
    <w:rPr>
      <w:rFonts w:ascii="Calibri" w:eastAsia="宋体" w:hAnsi="Calibri" w:cs="Calibri"/>
    </w:rPr>
  </w:style>
  <w:style w:type="paragraph" w:styleId="Header">
    <w:name w:val="header"/>
    <w:basedOn w:val="Normal"/>
    <w:link w:val="HeaderChar"/>
    <w:uiPriority w:val="99"/>
    <w:unhideWhenUsed/>
    <w:rsid w:val="00B432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B43288"/>
    <w:rPr>
      <w:rFonts w:cs="等线"/>
      <w:sz w:val="18"/>
      <w:szCs w:val="18"/>
    </w:rPr>
  </w:style>
  <w:style w:type="paragraph" w:styleId="Footer">
    <w:name w:val="footer"/>
    <w:basedOn w:val="Normal"/>
    <w:link w:val="FooterChar"/>
    <w:uiPriority w:val="99"/>
    <w:unhideWhenUsed/>
    <w:rsid w:val="00B43288"/>
    <w:pPr>
      <w:tabs>
        <w:tab w:val="center" w:pos="4153"/>
        <w:tab w:val="right" w:pos="8306"/>
      </w:tabs>
      <w:snapToGrid w:val="0"/>
      <w:jc w:val="left"/>
    </w:pPr>
    <w:rPr>
      <w:sz w:val="18"/>
      <w:szCs w:val="18"/>
    </w:rPr>
  </w:style>
  <w:style w:type="character" w:customStyle="1" w:styleId="FooterChar">
    <w:name w:val="Footer Char"/>
    <w:link w:val="Footer"/>
    <w:uiPriority w:val="99"/>
    <w:rsid w:val="00B43288"/>
    <w:rPr>
      <w:rFonts w:cs="等线"/>
      <w:sz w:val="18"/>
      <w:szCs w:val="18"/>
    </w:rPr>
  </w:style>
  <w:style w:type="paragraph" w:styleId="Title">
    <w:name w:val="Title"/>
    <w:basedOn w:val="Normal"/>
    <w:next w:val="Normal"/>
    <w:link w:val="TitleChar"/>
    <w:qFormat/>
    <w:locked/>
    <w:rsid w:val="00B43288"/>
    <w:pPr>
      <w:spacing w:before="240" w:after="60"/>
      <w:jc w:val="center"/>
      <w:outlineLvl w:val="0"/>
    </w:pPr>
    <w:rPr>
      <w:rFonts w:ascii="Cambria" w:eastAsia="黑体" w:hAnsi="Cambria" w:cs="Times New Roman"/>
      <w:b/>
      <w:bCs/>
      <w:sz w:val="28"/>
      <w:szCs w:val="32"/>
    </w:rPr>
  </w:style>
  <w:style w:type="character" w:customStyle="1" w:styleId="TitleChar">
    <w:name w:val="Title Char"/>
    <w:link w:val="Title"/>
    <w:qFormat/>
    <w:rsid w:val="00B43288"/>
    <w:rPr>
      <w:rFonts w:ascii="Cambria" w:eastAsia="黑体" w:hAnsi="Cambria"/>
      <w:b/>
      <w:bCs/>
      <w:sz w:val="28"/>
      <w:szCs w:val="32"/>
    </w:rPr>
  </w:style>
  <w:style w:type="paragraph" w:styleId="BalloonText">
    <w:name w:val="Balloon Text"/>
    <w:basedOn w:val="Normal"/>
    <w:link w:val="BalloonTextChar"/>
    <w:uiPriority w:val="99"/>
    <w:semiHidden/>
    <w:unhideWhenUsed/>
    <w:rsid w:val="000D0FE6"/>
    <w:rPr>
      <w:sz w:val="18"/>
      <w:szCs w:val="18"/>
    </w:rPr>
  </w:style>
  <w:style w:type="character" w:customStyle="1" w:styleId="BalloonTextChar">
    <w:name w:val="Balloon Text Char"/>
    <w:link w:val="BalloonText"/>
    <w:uiPriority w:val="99"/>
    <w:semiHidden/>
    <w:rsid w:val="000D0FE6"/>
    <w:rPr>
      <w:rFonts w:cs="等线"/>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中国科技通讯（NEWSLETTER）</vt:lpstr>
    </vt:vector>
  </TitlesOfParts>
  <Company>China</Company>
  <LinksUpToDate>false</LinksUpToDate>
  <CharactersWithSpaces>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中国科技通讯（NEWSLETTER）</dc:title>
  <dc:subject/>
  <dc:creator>戈松雪</dc:creator>
  <cp:keywords/>
  <dc:description/>
  <cp:lastModifiedBy>Think</cp:lastModifiedBy>
  <cp:revision>2</cp:revision>
  <cp:lastPrinted>2017-03-14T06:52:00Z</cp:lastPrinted>
  <dcterms:created xsi:type="dcterms:W3CDTF">2017-06-05T23:33:00Z</dcterms:created>
  <dcterms:modified xsi:type="dcterms:W3CDTF">2017-06-05T23:33:00Z</dcterms:modified>
</cp:coreProperties>
</file>